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6D" w:rsidRDefault="00B8166D" w:rsidP="00B8166D">
      <w:pPr>
        <w:spacing w:before="120" w:after="0"/>
        <w:jc w:val="both"/>
        <w:rPr>
          <w:b/>
        </w:rPr>
      </w:pPr>
      <w:bookmarkStart w:id="0" w:name="_GoBack"/>
      <w:bookmarkEnd w:id="0"/>
    </w:p>
    <w:p w:rsidR="00B8166D" w:rsidRPr="00B8166D" w:rsidRDefault="00B8166D" w:rsidP="00B8166D">
      <w:pPr>
        <w:pStyle w:val="NormalWeb"/>
        <w:spacing w:before="120" w:beforeAutospacing="0" w:after="0" w:afterAutospacing="0"/>
        <w:ind w:left="567"/>
        <w:jc w:val="both"/>
        <w:rPr>
          <w:b/>
        </w:rPr>
      </w:pPr>
      <w:r w:rsidRPr="00B8166D">
        <w:rPr>
          <w:b/>
        </w:rPr>
        <w:t>Uzņemšanas prasības un kritēriji</w:t>
      </w:r>
    </w:p>
    <w:p w:rsidR="00B8166D" w:rsidRPr="005B7B55" w:rsidRDefault="00B8166D" w:rsidP="00B8166D">
      <w:pPr>
        <w:pStyle w:val="NormalWeb"/>
        <w:numPr>
          <w:ilvl w:val="0"/>
          <w:numId w:val="1"/>
        </w:numPr>
        <w:spacing w:before="120" w:beforeAutospacing="0" w:after="0" w:afterAutospacing="0"/>
        <w:ind w:left="567" w:hanging="567"/>
        <w:jc w:val="both"/>
      </w:pPr>
      <w:r w:rsidRPr="005B7B55">
        <w:rPr>
          <w:b/>
        </w:rPr>
        <w:t>Pretendējot uz pamatspecialitāti, pretendenta iesniegtos dokumentus vērtē atbilstoši šādiem pamatkritērijiem:</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Diplomā norādītā vidējā svērtā atzīme (</w:t>
      </w:r>
      <w:r>
        <w:t>ieskaitot</w:t>
      </w:r>
      <w:r w:rsidRPr="005B7B55">
        <w:t xml:space="preserve"> valsts pārbaudījumu un pētnieciskā darba vērtējumu): 4 – 10 punkti (apaļojot divus ciparus aiz komata), reizināts ar koeficentu 3.6. Ja vidējo svērto atzīmi nav iespējams aprēķināt, tiek ņemts vērā vidējais vērtējums;</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Valsts pārbaudījuma vērtējums: 4 līdz 10 punkti, reizināts ar koeficentu 0.9;</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Par studiju programmas “Pediatrija” apguvi, pretendējot uz Pediatra  specialitāti vai ar to saistītām apakšspecialitātēm: 2 punkti;</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 xml:space="preserve">Zinātniskā darbība un darbība pētniecības jomā: </w:t>
      </w:r>
      <w:r>
        <w:t>1</w:t>
      </w:r>
      <w:r w:rsidRPr="005B7B55">
        <w:t xml:space="preserve">.4.1., </w:t>
      </w:r>
      <w:r>
        <w:t>1</w:t>
      </w:r>
      <w:r w:rsidRPr="005B7B55">
        <w:t xml:space="preserve">.4.2. un </w:t>
      </w:r>
      <w:r>
        <w:t>1</w:t>
      </w:r>
      <w:r w:rsidRPr="005B7B55">
        <w:t>.4.3.punktu kopsumma, reizināta ar koeficentu 1.56:</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 xml:space="preserve">Darbība studentu zinātniskajos pulciņos pēdējo 3 (trīs) gadu laikā – iesniedzami apliecinājumi (numurēti un/vai reģistrēti pulciņu vadītāju parakstīti sertifikāti), kas atbilst vienam no zemāk minētajiem kritērijiem, ja apliecinājumi atbilst vairākiem kritērijiem, vērā tiek ņemts </w:t>
      </w:r>
      <w:r>
        <w:t xml:space="preserve">1 </w:t>
      </w:r>
      <w:r w:rsidRPr="005B7B55">
        <w:t>vērtīgākais:</w:t>
      </w:r>
    </w:p>
    <w:p w:rsidR="00B8166D" w:rsidRPr="005B7B55" w:rsidRDefault="00B8166D" w:rsidP="00B8166D">
      <w:pPr>
        <w:pStyle w:val="NormalWeb"/>
        <w:numPr>
          <w:ilvl w:val="3"/>
          <w:numId w:val="1"/>
        </w:numPr>
        <w:spacing w:before="120" w:beforeAutospacing="0" w:after="0" w:afterAutospacing="0"/>
        <w:ind w:left="2977" w:hanging="992"/>
        <w:jc w:val="both"/>
      </w:pPr>
      <w:r w:rsidRPr="005B7B55">
        <w:t>zinātniskā pulciņa v</w:t>
      </w:r>
      <w:r w:rsidRPr="005B7B55">
        <w:rPr>
          <w:color w:val="000000"/>
        </w:rPr>
        <w:t>adīšana: 1.5;</w:t>
      </w:r>
    </w:p>
    <w:p w:rsidR="00B8166D" w:rsidRPr="005B7B55" w:rsidRDefault="00B8166D" w:rsidP="00B8166D">
      <w:pPr>
        <w:pStyle w:val="NormalWeb"/>
        <w:numPr>
          <w:ilvl w:val="3"/>
          <w:numId w:val="1"/>
        </w:numPr>
        <w:spacing w:before="120" w:beforeAutospacing="0" w:after="0" w:afterAutospacing="0"/>
        <w:ind w:left="2977" w:hanging="992"/>
        <w:jc w:val="both"/>
      </w:pPr>
      <w:r w:rsidRPr="005B7B55">
        <w:t>uzstāšanās zinātniskajā pulciņā: 1.0;</w:t>
      </w:r>
    </w:p>
    <w:p w:rsidR="00B8166D" w:rsidRPr="005B7B55" w:rsidRDefault="00B8166D" w:rsidP="00B8166D">
      <w:pPr>
        <w:pStyle w:val="NormalWeb"/>
        <w:numPr>
          <w:ilvl w:val="3"/>
          <w:numId w:val="1"/>
        </w:numPr>
        <w:spacing w:before="120" w:beforeAutospacing="0" w:after="0" w:afterAutospacing="0"/>
        <w:ind w:left="2977" w:hanging="992"/>
        <w:jc w:val="both"/>
      </w:pPr>
      <w:r w:rsidRPr="005B7B55">
        <w:t>zinatniskā pulciņa apmeklēšana: 0.5.</w:t>
      </w:r>
    </w:p>
    <w:p w:rsidR="00B8166D" w:rsidRPr="004F4C7D" w:rsidRDefault="00B8166D" w:rsidP="00B8166D">
      <w:pPr>
        <w:pStyle w:val="NormalWeb"/>
        <w:numPr>
          <w:ilvl w:val="2"/>
          <w:numId w:val="1"/>
        </w:numPr>
        <w:spacing w:before="120" w:beforeAutospacing="0" w:after="0" w:afterAutospacing="0"/>
        <w:ind w:left="1985" w:hanging="709"/>
        <w:jc w:val="both"/>
      </w:pPr>
      <w:r w:rsidRPr="005B7B55">
        <w:t xml:space="preserve">Zinātniskā </w:t>
      </w:r>
      <w:r w:rsidRPr="004F4C7D">
        <w:t>darba aktivitātes</w:t>
      </w:r>
      <w:r>
        <w:t xml:space="preserve"> (ne vairāk kā 3 (trīs) apliecinājumi):</w:t>
      </w:r>
    </w:p>
    <w:p w:rsidR="00B8166D" w:rsidRPr="004F4C7D" w:rsidRDefault="00B8166D" w:rsidP="00B8166D">
      <w:pPr>
        <w:pStyle w:val="NormalWeb"/>
        <w:numPr>
          <w:ilvl w:val="3"/>
          <w:numId w:val="1"/>
        </w:numPr>
        <w:spacing w:before="120" w:beforeAutospacing="0" w:after="0" w:afterAutospacing="0"/>
        <w:ind w:left="2977" w:hanging="992"/>
        <w:jc w:val="both"/>
      </w:pPr>
      <w:r w:rsidRPr="004F4C7D">
        <w:t>mutiska uzstāšanās konferencē: 3 punkti;</w:t>
      </w:r>
    </w:p>
    <w:p w:rsidR="00B8166D" w:rsidRPr="005B7B55" w:rsidRDefault="00B8166D" w:rsidP="00B8166D">
      <w:pPr>
        <w:pStyle w:val="NormalWeb"/>
        <w:numPr>
          <w:ilvl w:val="3"/>
          <w:numId w:val="1"/>
        </w:numPr>
        <w:spacing w:before="120" w:beforeAutospacing="0" w:after="0" w:afterAutospacing="0"/>
        <w:ind w:left="2977" w:hanging="992"/>
        <w:jc w:val="both"/>
      </w:pPr>
      <w:r w:rsidRPr="004F4C7D">
        <w:t>publikācija recenzētā</w:t>
      </w:r>
      <w:r w:rsidRPr="005B7B55">
        <w:t xml:space="preserve"> medicīnas izdevumā: 3 punkti;</w:t>
      </w:r>
    </w:p>
    <w:p w:rsidR="00B8166D" w:rsidRPr="005B7B55" w:rsidRDefault="00B8166D" w:rsidP="00B8166D">
      <w:pPr>
        <w:pStyle w:val="NormalWeb"/>
        <w:numPr>
          <w:ilvl w:val="3"/>
          <w:numId w:val="1"/>
        </w:numPr>
        <w:spacing w:before="120" w:beforeAutospacing="0" w:after="0" w:afterAutospacing="0"/>
        <w:ind w:left="2977" w:hanging="992"/>
        <w:jc w:val="both"/>
      </w:pPr>
      <w:r w:rsidRPr="005B7B55">
        <w:t>iesniegtas tēzes konferencē, konferenču un kongresu materiālos: 2 punkti;</w:t>
      </w:r>
    </w:p>
    <w:p w:rsidR="00B8166D" w:rsidRPr="005B7B55" w:rsidRDefault="00B8166D" w:rsidP="00B8166D">
      <w:pPr>
        <w:pStyle w:val="NormalWeb"/>
        <w:numPr>
          <w:ilvl w:val="3"/>
          <w:numId w:val="1"/>
        </w:numPr>
        <w:spacing w:before="120" w:beforeAutospacing="0" w:after="0" w:afterAutospacing="0"/>
        <w:ind w:left="2977" w:hanging="992"/>
        <w:jc w:val="both"/>
      </w:pPr>
      <w:r w:rsidRPr="005B7B55">
        <w:t>raksts populārzinātniskā medicīnas izdevumā: 1 punkts;</w:t>
      </w:r>
    </w:p>
    <w:p w:rsidR="00B8166D" w:rsidRPr="005B7B55" w:rsidRDefault="00B8166D" w:rsidP="00B8166D">
      <w:pPr>
        <w:pStyle w:val="NormalWeb"/>
        <w:numPr>
          <w:ilvl w:val="3"/>
          <w:numId w:val="1"/>
        </w:numPr>
        <w:spacing w:before="120" w:beforeAutospacing="0" w:after="0" w:afterAutospacing="0"/>
        <w:ind w:left="2977" w:hanging="992"/>
        <w:jc w:val="both"/>
      </w:pPr>
      <w:r w:rsidRPr="005B7B55">
        <w:t>par katru darbu starptautiskajā konferencē:</w:t>
      </w:r>
      <w:r>
        <w:t xml:space="preserve"> </w:t>
      </w:r>
      <w:r w:rsidRPr="005B7B55">
        <w:t>0.5 punkti par katru.</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Diplomdarba/pētnieciskā darba vērtējums:  4 – 10 punkti, reizināts ar koeficentu 0.4.</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Intervija, kura tiek vērtēta atbilstoši Nolikuma 3.pielikumā norādītajiem vērtēšanas kritērijiem. Intervijā iegūto punktu skaits tiek reizināts ar koeficentu 0.75.</w:t>
      </w:r>
    </w:p>
    <w:p w:rsidR="00B8166D" w:rsidRPr="005B7B55" w:rsidRDefault="00B8166D" w:rsidP="00B8166D">
      <w:pPr>
        <w:pStyle w:val="NormalWeb"/>
        <w:numPr>
          <w:ilvl w:val="0"/>
          <w:numId w:val="1"/>
        </w:numPr>
        <w:spacing w:before="120" w:beforeAutospacing="0" w:after="0" w:afterAutospacing="0"/>
        <w:ind w:left="567" w:hanging="567"/>
        <w:jc w:val="both"/>
      </w:pPr>
      <w:r w:rsidRPr="005B7B55">
        <w:t xml:space="preserve">Pretendējot uz </w:t>
      </w:r>
      <w:r w:rsidRPr="005B7B55">
        <w:rPr>
          <w:b/>
        </w:rPr>
        <w:t>apakšspecialitāti vai papildspecialitāti</w:t>
      </w:r>
      <w:r w:rsidRPr="005B7B55">
        <w:t xml:space="preserve"> </w:t>
      </w:r>
      <w:r w:rsidRPr="005B7B55">
        <w:rPr>
          <w:bCs/>
        </w:rPr>
        <w:t>(izņemot zobu protēzista, ortodonta, bērnu zobārsta, endodonta un paradontolga apakšspecialitātēs) uzņemšanas noteikumi attiecināmi kā pretendējot uz pamatspecialitāti,</w:t>
      </w:r>
      <w:r w:rsidRPr="005B7B55">
        <w:t xml:space="preserve"> pretendenta iesniegtos dokumentus vērtē atbilstoši šādiem pamatkritērijiem:</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 xml:space="preserve">Rekomendācijas medicīnas jomā, iesniedzams 1 apliecinājums. Rekomendācijā jāsniedz informācija par kandidāta piemērotību studijām </w:t>
      </w:r>
      <w:r w:rsidRPr="005B7B55">
        <w:lastRenderedPageBreak/>
        <w:t>rezidentūrā izvēlētajā apakšspecialitātē vai papildspecialitātē, pamatojoties uz kandidāta zināšanām, prasmēm un kompetenci. Rekomendācijā ietverams kandidāta personisko un profesionālo īpašību novērtējums – kontekstā ar izvēlēto specialitāti:</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Rekomendācija medicīnas jomā no docētāja vai ārsta, kas nav saistīta ar izvēlēto specialitāti – 1 punkts;</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rekomendācija medicīnas jomā no docētāja vai ārsta, kas ir saistīta ar izvēlēto specialitāti – 2 punkti;</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darba devēja rekomendācija ar raksturojumu motivācijai  – 3 punkti.</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Zinātniskā darba aktivitātes visā studiju periodā (ne vairāk kā trīs apliecinājumi):</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mutiska uzstāšanās konferencē: 3 punkti;</w:t>
      </w:r>
    </w:p>
    <w:p w:rsidR="00B8166D" w:rsidRPr="005B7B55" w:rsidRDefault="00B8166D" w:rsidP="00B8166D">
      <w:pPr>
        <w:pStyle w:val="NormalWeb"/>
        <w:numPr>
          <w:ilvl w:val="2"/>
          <w:numId w:val="1"/>
        </w:numPr>
        <w:spacing w:before="120" w:beforeAutospacing="0" w:after="0" w:afterAutospacing="0"/>
        <w:ind w:left="1985" w:hanging="709"/>
        <w:jc w:val="both"/>
      </w:pPr>
      <w:r w:rsidRPr="004F4C7D">
        <w:t>publikācija recenzētā medicīnas</w:t>
      </w:r>
      <w:r w:rsidRPr="005B7B55">
        <w:t xml:space="preserve"> izdevumā: 3 punkti;</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pieņemtas tēzes konferencē, konferenču un kongresu materiālos: 2 punkti;</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raksts populārzinātniskā medicīnas izdevumā: 1 punkts;</w:t>
      </w:r>
    </w:p>
    <w:p w:rsidR="00B8166D" w:rsidRPr="005B7B55" w:rsidRDefault="00B8166D" w:rsidP="00B8166D">
      <w:pPr>
        <w:pStyle w:val="NormalWeb"/>
        <w:numPr>
          <w:ilvl w:val="2"/>
          <w:numId w:val="1"/>
        </w:numPr>
        <w:spacing w:before="120" w:beforeAutospacing="0" w:after="0" w:afterAutospacing="0"/>
        <w:ind w:left="1985" w:hanging="709"/>
        <w:jc w:val="both"/>
      </w:pPr>
      <w:r w:rsidRPr="005B7B55">
        <w:t>par katru darbu starptautiskajā konferencē: 0.5 punkti par katru.</w:t>
      </w:r>
    </w:p>
    <w:p w:rsidR="00B8166D" w:rsidRPr="005B7B55" w:rsidRDefault="00B8166D" w:rsidP="00B8166D">
      <w:pPr>
        <w:pStyle w:val="NormalWeb"/>
        <w:numPr>
          <w:ilvl w:val="1"/>
          <w:numId w:val="1"/>
        </w:numPr>
        <w:spacing w:before="120" w:beforeAutospacing="0" w:after="0" w:afterAutospacing="0"/>
        <w:ind w:left="1276" w:hanging="709"/>
        <w:jc w:val="both"/>
        <w:rPr>
          <w:b/>
        </w:rPr>
      </w:pPr>
      <w:r w:rsidRPr="005B7B55">
        <w:t>Intervija, kura tiek vērtēta atbilstoši Nolikuma 3.pielikumā norādītajiem vērtēšanas kritērijiem. Intervijā iegūto punktu skaits, reizināts ar koeficentu 0.75.</w:t>
      </w:r>
    </w:p>
    <w:p w:rsidR="00B8166D" w:rsidRPr="005B7B55" w:rsidRDefault="00B8166D" w:rsidP="00B8166D">
      <w:pPr>
        <w:pStyle w:val="NormalWeb"/>
        <w:numPr>
          <w:ilvl w:val="0"/>
          <w:numId w:val="1"/>
        </w:numPr>
        <w:spacing w:before="120" w:beforeAutospacing="0" w:after="0" w:afterAutospacing="0"/>
        <w:ind w:left="567" w:hanging="567"/>
        <w:jc w:val="both"/>
      </w:pPr>
      <w:r w:rsidRPr="005B7B55">
        <w:rPr>
          <w:bCs/>
        </w:rPr>
        <w:t xml:space="preserve">Zobu protēzista, ortodonta, bērnu zobārsta, endodonta un paradontolga apakšspecialitātēs uzņemšanas noteikumi attiecināmi kā pretendējot uz pamatspecialitāti. </w:t>
      </w:r>
    </w:p>
    <w:p w:rsidR="00B8166D" w:rsidRPr="005B7B55" w:rsidRDefault="00B8166D" w:rsidP="00B8166D">
      <w:pPr>
        <w:pStyle w:val="NormalWeb"/>
        <w:numPr>
          <w:ilvl w:val="0"/>
          <w:numId w:val="1"/>
        </w:numPr>
        <w:spacing w:before="120" w:beforeAutospacing="0" w:after="0" w:afterAutospacing="0"/>
        <w:ind w:left="567" w:hanging="567"/>
        <w:jc w:val="both"/>
      </w:pPr>
      <w:r w:rsidRPr="005B7B55">
        <w:rPr>
          <w:shd w:val="clear" w:color="auto" w:fill="FFFFFF"/>
        </w:rPr>
        <w:t xml:space="preserve">Līdzvērtīgu rezultātu gadījumā priekšroka dodama </w:t>
      </w:r>
      <w:r w:rsidRPr="004F4C7D">
        <w:rPr>
          <w:shd w:val="clear" w:color="auto" w:fill="FFFFFF"/>
        </w:rPr>
        <w:t>tiem rezidentūras pretendentiem, kuriem noteiktajām specialitātēm ir noslēgta vienošanās ar pašvaldību</w:t>
      </w:r>
      <w:r w:rsidRPr="005B7B55">
        <w:rPr>
          <w:shd w:val="clear" w:color="auto" w:fill="FFFFFF"/>
        </w:rPr>
        <w:t xml:space="preserve"> vai 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rezidentūras pretendents ir pieteicies.</w:t>
      </w:r>
    </w:p>
    <w:p w:rsidR="00B8166D" w:rsidRPr="005B7B55" w:rsidRDefault="00B8166D" w:rsidP="00B8166D">
      <w:pPr>
        <w:pStyle w:val="NormalWeb"/>
        <w:numPr>
          <w:ilvl w:val="0"/>
          <w:numId w:val="1"/>
        </w:numPr>
        <w:spacing w:before="120" w:beforeAutospacing="0" w:after="0" w:afterAutospacing="0"/>
        <w:ind w:left="567" w:hanging="567"/>
        <w:jc w:val="both"/>
      </w:pPr>
      <w:r w:rsidRPr="005B7B55">
        <w:t>Lai pretendētu uz tiesībām studēt Studiju programmā, pretendentam vērtējumā jāsaņem vismaz:</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Pamatspecialitātē – 28 punkti;</w:t>
      </w:r>
    </w:p>
    <w:p w:rsidR="00B8166D" w:rsidRPr="005B7B55" w:rsidRDefault="00B8166D" w:rsidP="00B8166D">
      <w:pPr>
        <w:pStyle w:val="NormalWeb"/>
        <w:numPr>
          <w:ilvl w:val="1"/>
          <w:numId w:val="1"/>
        </w:numPr>
        <w:spacing w:before="120" w:beforeAutospacing="0" w:after="0" w:afterAutospacing="0"/>
        <w:ind w:left="1276" w:hanging="709"/>
        <w:jc w:val="both"/>
      </w:pPr>
      <w:r w:rsidRPr="005B7B55">
        <w:t>Apakšspecialitātē vai papildspecialitātē – 8 punkti.</w:t>
      </w:r>
    </w:p>
    <w:p w:rsidR="001B7A7D" w:rsidRDefault="00BD2668"/>
    <w:sectPr w:rsidR="001B7A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C8F"/>
    <w:multiLevelType w:val="multilevel"/>
    <w:tmpl w:val="A2A66BB0"/>
    <w:lvl w:ilvl="0">
      <w:start w:val="1"/>
      <w:numFmt w:val="decimal"/>
      <w:lvlText w:val="%1."/>
      <w:lvlJc w:val="left"/>
      <w:pPr>
        <w:ind w:left="644" w:hanging="360"/>
      </w:pPr>
      <w:rPr>
        <w:b w:val="0"/>
        <w:i w:val="0"/>
      </w:rPr>
    </w:lvl>
    <w:lvl w:ilvl="1">
      <w:start w:val="1"/>
      <w:numFmt w:val="decimal"/>
      <w:lvlText w:val="%1.%2."/>
      <w:lvlJc w:val="left"/>
      <w:pPr>
        <w:ind w:left="858"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6D"/>
    <w:rsid w:val="0047143B"/>
    <w:rsid w:val="009401D2"/>
    <w:rsid w:val="00B8166D"/>
    <w:rsid w:val="00BD2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FF03C-0C57-486E-A6C9-8B9899CD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6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dc:creator>
  <cp:lastModifiedBy>Aija</cp:lastModifiedBy>
  <cp:revision>2</cp:revision>
  <dcterms:created xsi:type="dcterms:W3CDTF">2019-06-10T07:50:00Z</dcterms:created>
  <dcterms:modified xsi:type="dcterms:W3CDTF">2019-06-10T07:50:00Z</dcterms:modified>
</cp:coreProperties>
</file>